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 w:eastAsia="Aptos Display"/>
          <w:b/>
          <w:color w:val="2F75B5"/>
          <w:sz w:val="26"/>
        </w:rPr>
        <w:t>FUTURE READY LEAGUE</w:t>
      </w:r>
    </w:p>
    <w:p>
      <w:pPr>
        <w:spacing w:before="320" w:after="100"/>
        <w:jc w:val="center"/>
      </w:pPr>
      <w:r>
        <w:rPr>
          <w:rFonts w:ascii="Aptos Display" w:hAnsi="Aptos Display" w:eastAsia="Aptos Display"/>
          <w:b/>
          <w:color w:val="17365D"/>
          <w:sz w:val="50"/>
        </w:rPr>
        <w:t>YOUNG SCIENTIST OBSERVATION</w:t>
      </w:r>
    </w:p>
    <w:p>
      <w:pPr>
        <w:jc w:val="center"/>
      </w:pPr>
      <w:r>
        <w:rPr>
          <w:rFonts w:ascii="Aptos" w:hAnsi="Aptos" w:eastAsia="Aptos"/>
          <w:b/>
          <w:color w:val="2E7D7A"/>
          <w:sz w:val="26"/>
        </w:rPr>
        <w:t>Science &amp; Mathematics Observation Challenge</w:t>
      </w:r>
    </w:p>
    <w:p>
      <w:pPr>
        <w:spacing w:before="200"/>
        <w:jc w:val="center"/>
      </w:pPr>
      <w:r>
        <w:rPr>
          <w:rFonts w:ascii="Aptos" w:hAnsi="Aptos" w:eastAsia="Aptos"/>
          <w:b/>
          <w:color w:val="C79A2B"/>
          <w:sz w:val="22"/>
        </w:rPr>
        <w:t>Official Competition Manual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288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17365D"/>
                <w:sz w:val="19"/>
              </w:rPr>
              <w:t>Eligible Grades</w:t>
            </w:r>
          </w:p>
        </w:tc>
        <w:tc>
          <w:tcPr>
            <w:tcW w:type="dxa" w:w="6624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 w:val="0"/>
                <w:color w:val="1F1F1F"/>
                <w:sz w:val="19"/>
              </w:rPr>
              <w:t>Grades 3-5</w:t>
            </w:r>
          </w:p>
        </w:tc>
      </w:tr>
      <w:tr>
        <w:tc>
          <w:tcPr>
            <w:tcW w:type="dxa" w:w="288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17365D"/>
                <w:sz w:val="19"/>
              </w:rPr>
              <w:t>Competition Type</w:t>
            </w:r>
          </w:p>
        </w:tc>
        <w:tc>
          <w:tcPr>
            <w:tcW w:type="dxa" w:w="6624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 w:val="0"/>
                <w:color w:val="1F1F1F"/>
                <w:sz w:val="19"/>
              </w:rPr>
              <w:t>Individual, Live Station-Based Challenge</w:t>
            </w:r>
          </w:p>
        </w:tc>
      </w:tr>
      <w:tr>
        <w:tc>
          <w:tcPr>
            <w:tcW w:type="dxa" w:w="288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17365D"/>
                <w:sz w:val="19"/>
              </w:rPr>
              <w:t>Core Format</w:t>
            </w:r>
          </w:p>
        </w:tc>
        <w:tc>
          <w:tcPr>
            <w:tcW w:type="dxa" w:w="6624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 w:val="0"/>
                <w:color w:val="1F1F1F"/>
                <w:sz w:val="19"/>
              </w:rPr>
              <w:t>Five Observation Stations + Written Observation Record</w:t>
            </w:r>
          </w:p>
        </w:tc>
      </w:tr>
      <w:tr>
        <w:tc>
          <w:tcPr>
            <w:tcW w:type="dxa" w:w="288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17365D"/>
                <w:sz w:val="19"/>
              </w:rPr>
              <w:t>Registration</w:t>
            </w:r>
          </w:p>
        </w:tc>
        <w:tc>
          <w:tcPr>
            <w:tcW w:type="dxa" w:w="6624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 w:val="0"/>
                <w:color w:val="1F1F1F"/>
                <w:sz w:val="19"/>
              </w:rPr>
              <w:t>Future Ready League Portal</w:t>
            </w:r>
          </w:p>
        </w:tc>
      </w:tr>
      <w:tr>
        <w:tc>
          <w:tcPr>
            <w:tcW w:type="dxa" w:w="288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17365D"/>
                <w:sz w:val="19"/>
              </w:rPr>
              <w:t>Assessment</w:t>
            </w:r>
          </w:p>
        </w:tc>
        <w:tc>
          <w:tcPr>
            <w:tcW w:type="dxa" w:w="6624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 w:val="0"/>
                <w:color w:val="1F1F1F"/>
                <w:sz w:val="19"/>
              </w:rPr>
              <w:t>100 Marks</w:t>
            </w:r>
          </w:p>
        </w:tc>
      </w:tr>
      <w:tr>
        <w:tc>
          <w:tcPr>
            <w:tcW w:type="dxa" w:w="288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17365D"/>
                <w:sz w:val="19"/>
              </w:rPr>
              <w:t>Mode</w:t>
            </w:r>
          </w:p>
        </w:tc>
        <w:tc>
          <w:tcPr>
            <w:tcW w:type="dxa" w:w="6624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 w:val="0"/>
                <w:color w:val="1F1F1F"/>
                <w:sz w:val="19"/>
              </w:rPr>
              <w:t>Live / Venue-Based</w:t>
            </w:r>
          </w:p>
        </w:tc>
      </w:tr>
    </w:tbl>
    <w:p/>
    <w:p>
      <w:pPr>
        <w:pStyle w:val="Callout"/>
        <w:jc w:val="center"/>
      </w:pPr>
      <w:r>
        <w:rPr>
          <w:rFonts w:ascii="Aptos" w:hAnsi="Aptos" w:eastAsia="Aptos"/>
          <w:b/>
          <w:color w:val="17365D"/>
          <w:sz w:val="24"/>
        </w:rPr>
        <w:t>Observe carefully. Record evidence. Discover patterns.</w:t>
      </w:r>
    </w:p>
    <w:p>
      <w:r>
        <w:br w:type="page"/>
      </w:r>
    </w:p>
    <w:p>
      <w:pPr>
        <w:pStyle w:val="Heading1"/>
      </w:pPr>
      <w:r>
        <w:t>Index / Table of Contents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</w:trPr>
        <w:tc>
          <w:tcPr>
            <w:tcW w:type="dxa" w:w="5040"/>
            <w:shd w:fill="17365D"/>
          </w:tcPr>
          <w:p>
            <w:r>
              <w:rPr>
                <w:rFonts w:ascii="Aptos" w:hAnsi="Aptos" w:eastAsia="Aptos"/>
                <w:b/>
                <w:color w:val="FFFFFF"/>
                <w:sz w:val="18"/>
              </w:rPr>
              <w:t>Section</w:t>
            </w:r>
          </w:p>
        </w:tc>
        <w:tc>
          <w:tcPr>
            <w:tcW w:type="dxa" w:w="5040"/>
            <w:shd w:fill="17365D"/>
          </w:tcPr>
          <w:p>
            <w:r>
              <w:rPr>
                <w:rFonts w:ascii="Aptos" w:hAnsi="Aptos" w:eastAsia="Aptos"/>
                <w:b/>
                <w:color w:val="FFFFFF"/>
                <w:sz w:val="18"/>
              </w:rPr>
              <w:t>Content</w:t>
            </w:r>
          </w:p>
        </w:tc>
      </w:tr>
      <w:t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1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Competition Overview</w:t>
            </w:r>
          </w:p>
        </w:tc>
      </w:tr>
      <w:t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2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Vision, Mission and Competency Promise</w:t>
            </w:r>
          </w:p>
        </w:tc>
      </w:tr>
      <w:t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3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Why Schools Should Register / Why Students Should Participate</w:t>
            </w:r>
          </w:p>
        </w:tc>
      </w:tr>
      <w:t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4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Competition Identity and Design Principles</w:t>
            </w:r>
          </w:p>
        </w:tc>
      </w:tr>
      <w:t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5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Eligibility and Category</w:t>
            </w:r>
          </w:p>
        </w:tc>
      </w:tr>
      <w:t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6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Competition Structure</w:t>
            </w:r>
          </w:p>
        </w:tc>
      </w:tr>
      <w:t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7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Five-Station Design Standards</w:t>
            </w:r>
          </w:p>
        </w:tc>
      </w:tr>
      <w:t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8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Student Observation Record</w:t>
            </w:r>
          </w:p>
        </w:tc>
      </w:tr>
      <w:t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9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Competition-Day Execution</w:t>
            </w:r>
          </w:p>
        </w:tc>
      </w:tr>
      <w:t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10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Roles and Responsibilities</w:t>
            </w:r>
          </w:p>
        </w:tc>
      </w:tr>
      <w:t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11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Assessment Architecture</w:t>
            </w:r>
          </w:p>
        </w:tc>
      </w:tr>
      <w:t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12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Detailed Judging Rubric</w:t>
            </w:r>
          </w:p>
        </w:tc>
      </w:tr>
      <w:t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13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Safety and Fairness Rules</w:t>
            </w:r>
          </w:p>
        </w:tc>
      </w:tr>
      <w:t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14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Student Preparation Guidance</w:t>
            </w:r>
          </w:p>
        </w:tc>
      </w:tr>
      <w:t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15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Results, Tie-Break and Portfolio Evidence</w:t>
            </w:r>
          </w:p>
        </w:tc>
      </w:tr>
      <w:t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16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Website Registration Information</w:t>
            </w:r>
          </w:p>
        </w:tc>
      </w:tr>
      <w:t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17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Organizer Readiness Checklist</w:t>
            </w:r>
          </w:p>
        </w:tc>
      </w:tr>
      <w:t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A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8"/>
              </w:rPr>
              <w:t>Student Quick Guide</w:t>
            </w:r>
          </w:p>
        </w:tc>
      </w:tr>
    </w:tbl>
    <w:p>
      <w:r>
        <w:br w:type="page"/>
      </w:r>
    </w:p>
    <w:p>
      <w:pPr>
        <w:pStyle w:val="Heading1"/>
      </w:pPr>
      <w:r>
        <w:t>1. Competition Overview</w:t>
      </w:r>
    </w:p>
    <w:p>
      <w:r>
        <w:t>Young Scientist Observation is a live Future Ready League challenge for Grades 3-5. Students rotate through five carefully designed stations where a scientific or mathematical phenomenon, object, process, pattern or data display is taking place. At each station, students independently record what they notice on an official response sheet.</w:t>
      </w:r>
    </w:p>
    <w:p>
      <w:r>
        <w:t>The competition is designed to assess the quality of observation rather than memorised content. A student does not need to know the formal scientific explanation to score well if the observations are accurate, detailed, evidence-based and clearly communicated.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17365D"/>
                <w:sz w:val="21"/>
              </w:rPr>
              <w:t>Core question: How carefully can a student observe something unfamiliar, identify what matters and record evidence without guessing?</w:t>
            </w:r>
          </w:p>
        </w:tc>
      </w:tr>
    </w:tbl>
    <w:p>
      <w:pPr>
        <w:pStyle w:val="Heading2"/>
      </w:pPr>
      <w:r>
        <w:t>What the competition is not</w:t>
      </w:r>
    </w:p>
    <w:p>
      <w:pPr>
        <w:pStyle w:val="ListBullet"/>
      </w:pPr>
      <w:r>
        <w:t>A textbook science quiz</w:t>
      </w:r>
    </w:p>
    <w:p>
      <w:pPr>
        <w:pStyle w:val="ListBullet"/>
      </w:pPr>
      <w:r>
        <w:t>A speed-based memory test</w:t>
      </w:r>
    </w:p>
    <w:p>
      <w:pPr>
        <w:pStyle w:val="ListBullet"/>
      </w:pPr>
      <w:r>
        <w:t>A laboratory practical requiring prior experiment practice</w:t>
      </w:r>
    </w:p>
    <w:p>
      <w:pPr>
        <w:pStyle w:val="ListBullet"/>
      </w:pPr>
      <w:r>
        <w:t>A competition for advanced scientific vocabulary</w:t>
      </w:r>
    </w:p>
    <w:p>
      <w:pPr>
        <w:pStyle w:val="Heading1"/>
      </w:pPr>
      <w:r>
        <w:t>2. Vision, Mission and Competency Promise</w:t>
      </w:r>
    </w:p>
    <w:p>
      <w:r>
        <w:t>Vision: To develop curious young learners who observe the world carefully, recognise patterns, ask meaningful questions and use evidence as the starting point for scientific and mathematical thinking.</w:t>
      </w:r>
    </w:p>
    <w:p>
      <w:r>
        <w:t>Mission: To give primary learners an age-appropriate, structured environment in which observation, comparison, pattern recognition, measurement awareness and evidence recording become visible and assessable behaviours.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  <w:cantSplit/>
        </w:trPr>
        <w:tc>
          <w:tcPr>
            <w:tcW w:type="dxa" w:w="5040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FFFFFF"/>
                <w:sz w:val="17"/>
              </w:rPr>
              <w:t>Competency Area</w:t>
            </w:r>
          </w:p>
        </w:tc>
        <w:tc>
          <w:tcPr>
            <w:tcW w:type="dxa" w:w="5040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FFFFFF"/>
                <w:sz w:val="17"/>
              </w:rPr>
              <w:t>How the Competition Makes It Observable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Scientific Inquiry &amp; Observation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Students notice changes, features and relationships and record direct evidence.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Critical Thinking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Students distinguish important evidence from assumptions and irrelevant detail.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Numeracy &amp; Mathematical Reasoning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Students identify quantities, patterns, symmetry, sequence, measurement and comparison.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Communication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Students translate visual evidence into clear words, labels, diagrams or simple tables.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Curiosity &amp; Questioning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Students generate relevant questions from what they observed.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Metacognitive Awareness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Students distinguish what they actually saw from what they think may explain it.</w:t>
            </w:r>
          </w:p>
        </w:tc>
      </w:tr>
    </w:tbl>
    <w:p>
      <w:pPr>
        <w:pStyle w:val="Heading1"/>
      </w:pPr>
      <w:r>
        <w:t>3. Why Schools Should Register / Why Students Should Participate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  <w:cantSplit/>
        </w:trPr>
        <w:tc>
          <w:tcPr>
            <w:tcW w:type="dxa" w:w="5040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FFFFFF"/>
                <w:sz w:val="17"/>
              </w:rPr>
              <w:t>Value to School</w:t>
            </w:r>
          </w:p>
        </w:tc>
        <w:tc>
          <w:tcPr>
            <w:tcW w:type="dxa" w:w="5040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FFFFFF"/>
                <w:sz w:val="17"/>
              </w:rPr>
              <w:t>Future Ready League Response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Evidence beyond marks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Produces visible observation records showing how students notice, compare and communicate.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Applied STEM enrichment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Connects science and mathematics to live, unfamiliar situations.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Early competency identification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Helps schools identify strengths in observation, pattern recognition, measurement and reasoning.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Age-appropriate challenge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Does not depend on advanced subject knowledge or expensive equipment.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Portfolio evidence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Station sheets can become authentic evidence of demonstrated behaviour.</w:t>
            </w:r>
          </w:p>
        </w:tc>
      </w:tr>
    </w:tbl>
    <w:p>
      <w:pPr>
        <w:pStyle w:val="Heading2"/>
      </w:pPr>
      <w:r>
        <w:t>Value to Students</w:t>
      </w:r>
    </w:p>
    <w:p>
      <w:pPr>
        <w:pStyle w:val="ListBullet"/>
      </w:pPr>
      <w:r>
        <w:t>Learn to notice details others may miss.</w:t>
      </w:r>
    </w:p>
    <w:p>
      <w:pPr>
        <w:pStyle w:val="ListBullet"/>
      </w:pPr>
      <w:r>
        <w:t>Practise separating observation from guessing.</w:t>
      </w:r>
    </w:p>
    <w:p>
      <w:pPr>
        <w:pStyle w:val="ListBullet"/>
      </w:pPr>
      <w:r>
        <w:t>Develop confidence in handling unfamiliar scientific and mathematical situations.</w:t>
      </w:r>
    </w:p>
    <w:p>
      <w:pPr>
        <w:pStyle w:val="ListBullet"/>
      </w:pPr>
      <w:r>
        <w:t>Improve evidence recording and questioning.</w:t>
      </w:r>
    </w:p>
    <w:p>
      <w:pPr>
        <w:pStyle w:val="ListBullet"/>
      </w:pPr>
      <w:r>
        <w:t>Build a strong foundation for later scientific inquiry.</w:t>
      </w:r>
    </w:p>
    <w:p>
      <w:pPr>
        <w:pStyle w:val="Heading1"/>
      </w:pPr>
      <w:r>
        <w:t>4. Competition Identity and Design Principles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  <w:cantSplit/>
        </w:trPr>
        <w:tc>
          <w:tcPr>
            <w:tcW w:type="dxa" w:w="5040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FFFFFF"/>
                <w:sz w:val="17"/>
              </w:rPr>
              <w:t>Element</w:t>
            </w:r>
          </w:p>
        </w:tc>
        <w:tc>
          <w:tcPr>
            <w:tcW w:type="dxa" w:w="5040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FFFFFF"/>
                <w:sz w:val="17"/>
              </w:rPr>
              <w:t>Official Specification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Formal Name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Young Scientist Observation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Target Group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Grades 3-5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Participation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Individual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Core Format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Five live observation stations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Response Mode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Written / drawn / labelled evidence on official paper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Total Marks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100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Technology Requirement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None for candidates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Primary Principle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Observation before explanation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Delivery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School, interschool or league event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Live Content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Confidential until competition day</w:t>
            </w:r>
          </w:p>
        </w:tc>
      </w:tr>
    </w:tbl>
    <w:p>
      <w:pPr>
        <w:pStyle w:val="Heading3"/>
      </w:pPr>
      <w:r>
        <w:t>Observe Before Explaining</w:t>
      </w:r>
    </w:p>
    <w:p>
      <w:r>
        <w:t>Students first record what is visible before proposing reasons.</w:t>
      </w:r>
    </w:p>
    <w:p>
      <w:pPr>
        <w:pStyle w:val="Heading3"/>
      </w:pPr>
      <w:r>
        <w:t>Evidence Before Vocabulary</w:t>
      </w:r>
    </w:p>
    <w:p>
      <w:r>
        <w:t>Accurate noticing matters more than technical terminology.</w:t>
      </w:r>
    </w:p>
    <w:p>
      <w:pPr>
        <w:pStyle w:val="Heading3"/>
      </w:pPr>
      <w:r>
        <w:t>Same Competency, Varied Content</w:t>
      </w:r>
    </w:p>
    <w:p>
      <w:r>
        <w:t>Stations may vary, but the observation demands stay comparable.</w:t>
      </w:r>
    </w:p>
    <w:p>
      <w:pPr>
        <w:pStyle w:val="Heading3"/>
      </w:pPr>
      <w:r>
        <w:t>Age-Appropriate Challenge</w:t>
      </w:r>
    </w:p>
    <w:p>
      <w:r>
        <w:t>Stimuli must be understandable without specialist prior knowledge.</w:t>
      </w:r>
    </w:p>
    <w:p>
      <w:pPr>
        <w:pStyle w:val="Heading3"/>
      </w:pPr>
      <w:r>
        <w:t>Safe Curiosity</w:t>
      </w:r>
    </w:p>
    <w:p>
      <w:r>
        <w:t>Students should be encouraged to observe closely without unsafe handling.</w:t>
      </w:r>
    </w:p>
    <w:p>
      <w:pPr>
        <w:pStyle w:val="Heading1"/>
      </w:pPr>
      <w:r>
        <w:t>5. Eligibility and Category</w:t>
      </w:r>
    </w:p>
    <w:p>
      <w:r>
        <w:t>The competition is open to students in Grades 3-5. Participation is individual so that every response sheet can be attributed to one student.</w:t>
      </w:r>
    </w:p>
    <w:p>
      <w:r>
        <w:t>The organizer may run separate Grade 3, Grade 4 and Grade 5 categories, or one combined Grades 3-5 category with age-sensitive judging. The selected model must be announced before registration closes.</w:t>
      </w:r>
    </w:p>
    <w:p>
      <w:pPr>
        <w:pStyle w:val="Heading1"/>
      </w:pPr>
      <w:r>
        <w:t>6. Competition Structure</w:t>
      </w:r>
    </w:p>
    <w:p>
      <w:r>
        <w:t>Each candidate completes five observation stations. Recommended time is 6-8 minutes per station, with a short controlled transition between stations. Total active task time is approximately 30-40 minutes.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  <w:cantSplit/>
        </w:trPr>
        <w:tc>
          <w:tcPr>
            <w:tcW w:type="dxa" w:w="3360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FFFFFF"/>
                <w:sz w:val="17"/>
              </w:rPr>
              <w:t>Station</w:t>
            </w:r>
          </w:p>
        </w:tc>
        <w:tc>
          <w:tcPr>
            <w:tcW w:type="dxa" w:w="3360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FFFFFF"/>
                <w:sz w:val="17"/>
              </w:rPr>
              <w:t>Recommended Focus</w:t>
            </w:r>
          </w:p>
        </w:tc>
        <w:tc>
          <w:tcPr>
            <w:tcW w:type="dxa" w:w="3360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FFFFFF"/>
                <w:sz w:val="17"/>
              </w:rPr>
              <w:t>Examples of Observable Demand</w:t>
            </w:r>
          </w:p>
        </w:tc>
      </w:tr>
      <w:tr>
        <w:trPr>
          <w:cantSplit/>
        </w:trPr>
        <w:tc>
          <w:tcPr>
            <w:tcW w:type="dxa" w:w="336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1</w:t>
            </w:r>
          </w:p>
        </w:tc>
        <w:tc>
          <w:tcPr>
            <w:tcW w:type="dxa" w:w="336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Physical Science</w:t>
            </w:r>
          </w:p>
        </w:tc>
        <w:tc>
          <w:tcPr>
            <w:tcW w:type="dxa" w:w="336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Motion, magnetism, light, sound, force or material properties</w:t>
            </w:r>
          </w:p>
        </w:tc>
      </w:tr>
      <w:tr>
        <w:trPr>
          <w:cantSplit/>
        </w:trPr>
        <w:tc>
          <w:tcPr>
            <w:tcW w:type="dxa" w:w="336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2</w:t>
            </w:r>
          </w:p>
        </w:tc>
        <w:tc>
          <w:tcPr>
            <w:tcW w:type="dxa" w:w="336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Life Science</w:t>
            </w:r>
          </w:p>
        </w:tc>
        <w:tc>
          <w:tcPr>
            <w:tcW w:type="dxa" w:w="336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Plant structures, seeds, leaves, adaptation or classification display</w:t>
            </w:r>
          </w:p>
        </w:tc>
      </w:tr>
      <w:tr>
        <w:trPr>
          <w:cantSplit/>
        </w:trPr>
        <w:tc>
          <w:tcPr>
            <w:tcW w:type="dxa" w:w="336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3</w:t>
            </w:r>
          </w:p>
        </w:tc>
        <w:tc>
          <w:tcPr>
            <w:tcW w:type="dxa" w:w="336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Mathematics</w:t>
            </w:r>
          </w:p>
        </w:tc>
        <w:tc>
          <w:tcPr>
            <w:tcW w:type="dxa" w:w="336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Pattern, symmetry, shape, sequence, measurement or estimation</w:t>
            </w:r>
          </w:p>
        </w:tc>
      </w:tr>
      <w:tr>
        <w:trPr>
          <w:cantSplit/>
        </w:trPr>
        <w:tc>
          <w:tcPr>
            <w:tcW w:type="dxa" w:w="336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4</w:t>
            </w:r>
          </w:p>
        </w:tc>
        <w:tc>
          <w:tcPr>
            <w:tcW w:type="dxa" w:w="336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Change &amp; Process</w:t>
            </w:r>
          </w:p>
        </w:tc>
        <w:tc>
          <w:tcPr>
            <w:tcW w:type="dxa" w:w="336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Safe visible change such as dissolving, mixing, floating or movement</w:t>
            </w:r>
          </w:p>
        </w:tc>
      </w:tr>
      <w:tr>
        <w:trPr>
          <w:cantSplit/>
        </w:trPr>
        <w:tc>
          <w:tcPr>
            <w:tcW w:type="dxa" w:w="336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5</w:t>
            </w:r>
          </w:p>
        </w:tc>
        <w:tc>
          <w:tcPr>
            <w:tcW w:type="dxa" w:w="336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Data &amp; Comparison</w:t>
            </w:r>
          </w:p>
        </w:tc>
        <w:tc>
          <w:tcPr>
            <w:tcW w:type="dxa" w:w="336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Objects, quantities, simple graphs, tables or comparative displays</w:t>
            </w:r>
          </w:p>
        </w:tc>
      </w:tr>
    </w:tbl>
    <w:p>
      <w:pPr>
        <w:pStyle w:val="Heading1"/>
      </w:pPr>
      <w:r>
        <w:t>7. Five-Station Design Standards</w:t>
      </w:r>
    </w:p>
    <w:p>
      <w:r>
        <w:t>The five stations should provide a balanced set of observation demands. They should not all test the same type of noticing.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  <w:cantSplit/>
        </w:trPr>
        <w:tc>
          <w:tcPr>
            <w:tcW w:type="dxa" w:w="5040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FFFFFF"/>
                <w:sz w:val="17"/>
              </w:rPr>
              <w:t>Standard</w:t>
            </w:r>
          </w:p>
        </w:tc>
        <w:tc>
          <w:tcPr>
            <w:tcW w:type="dxa" w:w="5040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FFFFFF"/>
                <w:sz w:val="17"/>
              </w:rPr>
              <w:t>Requirement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Clarity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The phenomenon must be visible and understandable from the assigned observation position.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Neutrality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The task should not depend on cultural, political or personal opinion.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Prior Knowledge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Essential information should be provided; formal topic mastery should not be required.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Safety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No hazardous chemicals, flames, high voltage, unsafe biological material or dangerous moving equipment.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Comparability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All candidates in a category receive equivalent time, viewing position and instructions.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Evidence Potential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Each station should support more than one meaningful observation.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Age Appropriateness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Reading and writing load must be suitable for Grades 3-5.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Confidentiality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Live station content remains confidential until all relevant groups complete the task.</w:t>
            </w:r>
          </w:p>
        </w:tc>
      </w:tr>
    </w:tbl>
    <w:p>
      <w:pPr>
        <w:pStyle w:val="Heading2"/>
      </w:pPr>
      <w:r>
        <w:t>Suitable Station Examples</w:t>
      </w:r>
    </w:p>
    <w:p>
      <w:pPr>
        <w:pStyle w:val="ListBullet"/>
      </w:pPr>
      <w:r>
        <w:t>Magnets interacting with selected materials</w:t>
      </w:r>
    </w:p>
    <w:p>
      <w:pPr>
        <w:pStyle w:val="ListBullet"/>
      </w:pPr>
      <w:r>
        <w:t>Transparent, translucent and opaque materials under light</w:t>
      </w:r>
    </w:p>
    <w:p>
      <w:pPr>
        <w:pStyle w:val="ListBullet"/>
      </w:pPr>
      <w:r>
        <w:t>Objects rolling down ramps</w:t>
      </w:r>
    </w:p>
    <w:p>
      <w:pPr>
        <w:pStyle w:val="ListBullet"/>
      </w:pPr>
      <w:r>
        <w:t>Safe floating and sinking display</w:t>
      </w:r>
    </w:p>
    <w:p>
      <w:pPr>
        <w:pStyle w:val="ListBullet"/>
      </w:pPr>
      <w:r>
        <w:t>Simple balance comparison</w:t>
      </w:r>
    </w:p>
    <w:p>
      <w:pPr>
        <w:pStyle w:val="ListBullet"/>
      </w:pPr>
      <w:r>
        <w:t>Symmetry and geometric pattern sequence</w:t>
      </w:r>
    </w:p>
    <w:p>
      <w:pPr>
        <w:pStyle w:val="ListBullet"/>
      </w:pPr>
      <w:r>
        <w:t>Leaf or seed structure comparison</w:t>
      </w:r>
    </w:p>
    <w:p>
      <w:pPr>
        <w:pStyle w:val="ListBullet"/>
      </w:pPr>
      <w:r>
        <w:t>Gear movement or simple machine display</w:t>
      </w:r>
    </w:p>
    <w:p>
      <w:pPr>
        <w:pStyle w:val="ListBullet"/>
      </w:pPr>
      <w:r>
        <w:t>Measurement and estimation objects</w:t>
      </w:r>
    </w:p>
    <w:p>
      <w:pPr>
        <w:pStyle w:val="ListBullet"/>
      </w:pPr>
      <w:r>
        <w:t>Simple graph or visual data comparison</w:t>
      </w:r>
    </w:p>
    <w:p>
      <w:pPr>
        <w:pStyle w:val="Heading1"/>
      </w:pPr>
      <w:r>
        <w:t>8. Student Observation Record</w:t>
      </w:r>
    </w:p>
    <w:p>
      <w:r>
        <w:t>Each station should use a short, structured response sheet. The sheet guides observation without revealing the scientific explanation.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  <w:cantSplit/>
        </w:trPr>
        <w:tc>
          <w:tcPr>
            <w:tcW w:type="dxa" w:w="5040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FFFFFF"/>
                <w:sz w:val="17"/>
              </w:rPr>
              <w:t>Prompt Type</w:t>
            </w:r>
          </w:p>
        </w:tc>
        <w:tc>
          <w:tcPr>
            <w:tcW w:type="dxa" w:w="5040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FFFFFF"/>
                <w:sz w:val="17"/>
              </w:rPr>
              <w:t>Example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Direct Observation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What did you notice?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Change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What changed from the beginning to the end?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Comparison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What was different between the two objects/events?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Pattern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Did you notice a pattern? Describe it.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Evidence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Write one detail that supports your answer.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Question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Write one question you would like to investigate further.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Optional Representation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Draw, label, measure or complete a simple table where appropriate.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17365D"/>
                <w:sz w:val="21"/>
              </w:rPr>
              <w:t>Observation: “The red ball travelled farther.”  Inference: “I think it travelled farther because it was heavier.” Students should learn the difference.</w:t>
            </w:r>
          </w:p>
        </w:tc>
      </w:tr>
    </w:tbl>
    <w:p>
      <w:pPr>
        <w:pStyle w:val="Heading1"/>
      </w:pPr>
      <w:r>
        <w:t>9. Competition-Day Execution</w:t>
      </w:r>
    </w:p>
    <w:p>
      <w:r>
        <w:t>Candidates check in using their registration/candidate code and are placed into balanced rotation groups. Each group starts at a different station.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  <w:cantSplit/>
        </w:trPr>
        <w:tc>
          <w:tcPr>
            <w:tcW w:type="dxa" w:w="5040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FFFFFF"/>
                <w:sz w:val="17"/>
              </w:rPr>
              <w:t>Operational Block</w:t>
            </w:r>
          </w:p>
        </w:tc>
        <w:tc>
          <w:tcPr>
            <w:tcW w:type="dxa" w:w="5040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FFFFFF"/>
                <w:sz w:val="17"/>
              </w:rPr>
              <w:t>Procedure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Briefing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Explain rotation, timing, response sheets, no-discussion rule and safety.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Station Start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Supervisor starts the demonstration/display according to the official script.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Observation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Student watches or inspects the display from the assigned position.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Recording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Student completes the official station sheet independently.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Time Signal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Supervisor gives a standard stop signal.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Transition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Students move quietly to the next station; no discussion of content.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Collection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All station sheets are candidate-coded and collected for marking.</w:t>
            </w:r>
          </w:p>
        </w:tc>
      </w:tr>
    </w:tbl>
    <w:p>
      <w:pPr>
        <w:pStyle w:val="Heading1"/>
      </w:pPr>
      <w:r>
        <w:t>10. Roles and Responsibilities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  <w:cantSplit/>
        </w:trPr>
        <w:tc>
          <w:tcPr>
            <w:tcW w:type="dxa" w:w="5040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FFFFFF"/>
                <w:sz w:val="17"/>
              </w:rPr>
              <w:t>Role</w:t>
            </w:r>
          </w:p>
        </w:tc>
        <w:tc>
          <w:tcPr>
            <w:tcW w:type="dxa" w:w="5040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FFFFFF"/>
                <w:sz w:val="17"/>
              </w:rPr>
              <w:t>Core Responsibility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Future Ready League Organizer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Approves station architecture, rules, judging tools and final results.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School Coordinator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Registers students, communicates schedules and prepares candidates using published methods.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Station Supervisor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Runs the official station exactly as scripted and controls timing.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Judge / Marker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Scores only against the published rubric and records evidence for unusual scores.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Moderator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Reviews scoring consistency, boundary scripts and anomalies.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Student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Observes independently, records evidence and follows safety/integrity rules.</w:t>
            </w:r>
          </w:p>
        </w:tc>
      </w:tr>
    </w:tbl>
    <w:p>
      <w:pPr>
        <w:pStyle w:val="Heading1"/>
      </w:pPr>
      <w:r>
        <w:t>11. Assessment Architecture</w:t>
      </w:r>
    </w:p>
    <w:p>
      <w:r>
        <w:t>Total score: 100 marks. Each of the five stations contributes 20 marks. The same four criteria are used at every station to create a consistent performance profile.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  <w:cantSplit/>
        </w:trPr>
        <w:tc>
          <w:tcPr>
            <w:tcW w:type="dxa" w:w="3360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FFFFFF"/>
                <w:sz w:val="17"/>
              </w:rPr>
              <w:t>Criterion</w:t>
            </w:r>
          </w:p>
        </w:tc>
        <w:tc>
          <w:tcPr>
            <w:tcW w:type="dxa" w:w="3360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FFFFFF"/>
                <w:sz w:val="17"/>
              </w:rPr>
              <w:t>Marks per Station</w:t>
            </w:r>
          </w:p>
        </w:tc>
        <w:tc>
          <w:tcPr>
            <w:tcW w:type="dxa" w:w="3360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FFFFFF"/>
                <w:sz w:val="17"/>
              </w:rPr>
              <w:t>Total Across 5 Stations</w:t>
            </w:r>
          </w:p>
        </w:tc>
      </w:tr>
      <w:tr>
        <w:trPr>
          <w:cantSplit/>
        </w:trPr>
        <w:tc>
          <w:tcPr>
            <w:tcW w:type="dxa" w:w="336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Accuracy of Observation</w:t>
            </w:r>
          </w:p>
        </w:tc>
        <w:tc>
          <w:tcPr>
            <w:tcW w:type="dxa" w:w="336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6</w:t>
            </w:r>
          </w:p>
        </w:tc>
        <w:tc>
          <w:tcPr>
            <w:tcW w:type="dxa" w:w="336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30</w:t>
            </w:r>
          </w:p>
        </w:tc>
      </w:tr>
      <w:tr>
        <w:trPr>
          <w:cantSplit/>
        </w:trPr>
        <w:tc>
          <w:tcPr>
            <w:tcW w:type="dxa" w:w="336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Detail &amp; Evidence</w:t>
            </w:r>
          </w:p>
        </w:tc>
        <w:tc>
          <w:tcPr>
            <w:tcW w:type="dxa" w:w="336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5</w:t>
            </w:r>
          </w:p>
        </w:tc>
        <w:tc>
          <w:tcPr>
            <w:tcW w:type="dxa" w:w="336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25</w:t>
            </w:r>
          </w:p>
        </w:tc>
      </w:tr>
      <w:tr>
        <w:trPr>
          <w:cantSplit/>
        </w:trPr>
        <w:tc>
          <w:tcPr>
            <w:tcW w:type="dxa" w:w="336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Pattern / Comparison Recognition</w:t>
            </w:r>
          </w:p>
        </w:tc>
        <w:tc>
          <w:tcPr>
            <w:tcW w:type="dxa" w:w="336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5</w:t>
            </w:r>
          </w:p>
        </w:tc>
        <w:tc>
          <w:tcPr>
            <w:tcW w:type="dxa" w:w="336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25</w:t>
            </w:r>
          </w:p>
        </w:tc>
      </w:tr>
      <w:tr>
        <w:trPr>
          <w:cantSplit/>
        </w:trPr>
        <w:tc>
          <w:tcPr>
            <w:tcW w:type="dxa" w:w="336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Communication &amp; Questioning</w:t>
            </w:r>
          </w:p>
        </w:tc>
        <w:tc>
          <w:tcPr>
            <w:tcW w:type="dxa" w:w="336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4</w:t>
            </w:r>
          </w:p>
        </w:tc>
        <w:tc>
          <w:tcPr>
            <w:tcW w:type="dxa" w:w="336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20</w:t>
            </w:r>
          </w:p>
        </w:tc>
      </w:tr>
      <w:tr>
        <w:trPr>
          <w:cantSplit/>
        </w:trPr>
        <w:tc>
          <w:tcPr>
            <w:tcW w:type="dxa" w:w="336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TOTAL</w:t>
            </w:r>
          </w:p>
        </w:tc>
        <w:tc>
          <w:tcPr>
            <w:tcW w:type="dxa" w:w="336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20</w:t>
            </w:r>
          </w:p>
        </w:tc>
        <w:tc>
          <w:tcPr>
            <w:tcW w:type="dxa" w:w="336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100</w:t>
            </w:r>
          </w:p>
        </w:tc>
      </w:tr>
    </w:tbl>
    <w:p>
      <w:pPr>
        <w:pStyle w:val="Heading1"/>
      </w:pPr>
      <w:r>
        <w:t>12. Detailed Judging Rubric</w:t>
      </w:r>
    </w:p>
    <w:p>
      <w:pPr>
        <w:pStyle w:val="Heading3"/>
      </w:pPr>
      <w:r>
        <w:t>Accuracy of Observation - 6 Marks</w:t>
      </w:r>
    </w:p>
    <w:p>
      <w:r>
        <w:rPr>
          <w:rFonts w:ascii="Aptos" w:hAnsi="Aptos" w:eastAsia="Aptos"/>
          <w:b/>
          <w:color w:val="17365D"/>
        </w:rPr>
        <w:t xml:space="preserve">Advanced: </w:t>
      </w:r>
      <w:r>
        <w:rPr>
          <w:rFonts w:ascii="Aptos" w:hAnsi="Aptos" w:eastAsia="Aptos"/>
          <w:color w:val="1F1F1F"/>
        </w:rPr>
        <w:t>Records several important features or changes accurately, with little or no unsupported guessing.</w:t>
      </w:r>
    </w:p>
    <w:p>
      <w:r>
        <w:rPr>
          <w:rFonts w:ascii="Aptos" w:hAnsi="Aptos" w:eastAsia="Aptos"/>
          <w:b/>
          <w:color w:val="17365D"/>
        </w:rPr>
        <w:t xml:space="preserve">Proficient: </w:t>
      </w:r>
      <w:r>
        <w:rPr>
          <w:rFonts w:ascii="Aptos" w:hAnsi="Aptos" w:eastAsia="Aptos"/>
          <w:color w:val="1F1F1F"/>
        </w:rPr>
        <w:t>Main observations are correct and relevant.</w:t>
      </w:r>
    </w:p>
    <w:p>
      <w:r>
        <w:rPr>
          <w:rFonts w:ascii="Aptos" w:hAnsi="Aptos" w:eastAsia="Aptos"/>
          <w:b/>
          <w:color w:val="17365D"/>
        </w:rPr>
        <w:t xml:space="preserve">Developing: </w:t>
      </w:r>
      <w:r>
        <w:rPr>
          <w:rFonts w:ascii="Aptos" w:hAnsi="Aptos" w:eastAsia="Aptos"/>
          <w:color w:val="1F1F1F"/>
        </w:rPr>
        <w:t>Some relevant observations, but important details are missed or partly inaccurate.</w:t>
      </w:r>
    </w:p>
    <w:p>
      <w:r>
        <w:rPr>
          <w:rFonts w:ascii="Aptos" w:hAnsi="Aptos" w:eastAsia="Aptos"/>
          <w:b/>
          <w:color w:val="17365D"/>
        </w:rPr>
        <w:t xml:space="preserve">Emerging: </w:t>
      </w:r>
      <w:r>
        <w:rPr>
          <w:rFonts w:ascii="Aptos" w:hAnsi="Aptos" w:eastAsia="Aptos"/>
          <w:color w:val="1F1F1F"/>
        </w:rPr>
        <w:t>Response is mainly inaccurate, unrelated or based on guessing.</w:t>
      </w:r>
    </w:p>
    <w:p>
      <w:pPr>
        <w:pStyle w:val="Heading3"/>
      </w:pPr>
      <w:r>
        <w:t>Detail &amp; Evidence - 5 Marks</w:t>
      </w:r>
    </w:p>
    <w:p>
      <w:r>
        <w:rPr>
          <w:rFonts w:ascii="Aptos" w:hAnsi="Aptos" w:eastAsia="Aptos"/>
          <w:b/>
          <w:color w:val="17365D"/>
        </w:rPr>
        <w:t xml:space="preserve">Advanced: </w:t>
      </w:r>
      <w:r>
        <w:rPr>
          <w:rFonts w:ascii="Aptos" w:hAnsi="Aptos" w:eastAsia="Aptos"/>
          <w:color w:val="1F1F1F"/>
        </w:rPr>
        <w:t>Uses precise visible details, labels, measurements or other evidence.</w:t>
      </w:r>
    </w:p>
    <w:p>
      <w:r>
        <w:rPr>
          <w:rFonts w:ascii="Aptos" w:hAnsi="Aptos" w:eastAsia="Aptos"/>
          <w:b/>
          <w:color w:val="17365D"/>
        </w:rPr>
        <w:t xml:space="preserve">Proficient: </w:t>
      </w:r>
      <w:r>
        <w:rPr>
          <w:rFonts w:ascii="Aptos" w:hAnsi="Aptos" w:eastAsia="Aptos"/>
          <w:color w:val="1F1F1F"/>
        </w:rPr>
        <w:t>Includes relevant supporting detail.</w:t>
      </w:r>
    </w:p>
    <w:p>
      <w:r>
        <w:rPr>
          <w:rFonts w:ascii="Aptos" w:hAnsi="Aptos" w:eastAsia="Aptos"/>
          <w:b/>
          <w:color w:val="17365D"/>
        </w:rPr>
        <w:t xml:space="preserve">Developing: </w:t>
      </w:r>
      <w:r>
        <w:rPr>
          <w:rFonts w:ascii="Aptos" w:hAnsi="Aptos" w:eastAsia="Aptos"/>
          <w:color w:val="1F1F1F"/>
        </w:rPr>
        <w:t>Some detail is present but mostly general.</w:t>
      </w:r>
    </w:p>
    <w:p>
      <w:r>
        <w:rPr>
          <w:rFonts w:ascii="Aptos" w:hAnsi="Aptos" w:eastAsia="Aptos"/>
          <w:b/>
          <w:color w:val="17365D"/>
        </w:rPr>
        <w:t xml:space="preserve">Emerging: </w:t>
      </w:r>
      <w:r>
        <w:rPr>
          <w:rFonts w:ascii="Aptos" w:hAnsi="Aptos" w:eastAsia="Aptos"/>
          <w:color w:val="1F1F1F"/>
        </w:rPr>
        <w:t>Provides minimal or no observable evidence.</w:t>
      </w:r>
    </w:p>
    <w:p>
      <w:pPr>
        <w:pStyle w:val="Heading3"/>
      </w:pPr>
      <w:r>
        <w:t>Pattern / Comparison Recognition - 5 Marks</w:t>
      </w:r>
    </w:p>
    <w:p>
      <w:r>
        <w:rPr>
          <w:rFonts w:ascii="Aptos" w:hAnsi="Aptos" w:eastAsia="Aptos"/>
          <w:b/>
          <w:color w:val="17365D"/>
        </w:rPr>
        <w:t xml:space="preserve">Advanced: </w:t>
      </w:r>
      <w:r>
        <w:rPr>
          <w:rFonts w:ascii="Aptos" w:hAnsi="Aptos" w:eastAsia="Aptos"/>
          <w:color w:val="1F1F1F"/>
        </w:rPr>
        <w:t>Identifies a meaningful pattern, relationship, sequence or comparison and expresses it clearly.</w:t>
      </w:r>
    </w:p>
    <w:p>
      <w:r>
        <w:rPr>
          <w:rFonts w:ascii="Aptos" w:hAnsi="Aptos" w:eastAsia="Aptos"/>
          <w:b/>
          <w:color w:val="17365D"/>
        </w:rPr>
        <w:t xml:space="preserve">Proficient: </w:t>
      </w:r>
      <w:r>
        <w:rPr>
          <w:rFonts w:ascii="Aptos" w:hAnsi="Aptos" w:eastAsia="Aptos"/>
          <w:color w:val="1F1F1F"/>
        </w:rPr>
        <w:t>Correctly identifies the main pattern or difference.</w:t>
      </w:r>
    </w:p>
    <w:p>
      <w:r>
        <w:rPr>
          <w:rFonts w:ascii="Aptos" w:hAnsi="Aptos" w:eastAsia="Aptos"/>
          <w:b/>
          <w:color w:val="17365D"/>
        </w:rPr>
        <w:t xml:space="preserve">Developing: </w:t>
      </w:r>
      <w:r>
        <w:rPr>
          <w:rFonts w:ascii="Aptos" w:hAnsi="Aptos" w:eastAsia="Aptos"/>
          <w:color w:val="1F1F1F"/>
        </w:rPr>
        <w:t>Notices a basic relationship but explanation is incomplete.</w:t>
      </w:r>
    </w:p>
    <w:p>
      <w:r>
        <w:rPr>
          <w:rFonts w:ascii="Aptos" w:hAnsi="Aptos" w:eastAsia="Aptos"/>
          <w:b/>
          <w:color w:val="17365D"/>
        </w:rPr>
        <w:t xml:space="preserve">Emerging: </w:t>
      </w:r>
      <w:r>
        <w:rPr>
          <w:rFonts w:ascii="Aptos" w:hAnsi="Aptos" w:eastAsia="Aptos"/>
          <w:color w:val="1F1F1F"/>
        </w:rPr>
        <w:t>Does not identify a meaningful relationship.</w:t>
      </w:r>
    </w:p>
    <w:p>
      <w:pPr>
        <w:pStyle w:val="Heading3"/>
      </w:pPr>
      <w:r>
        <w:t>Communication &amp; Questioning - 4 Marks</w:t>
      </w:r>
    </w:p>
    <w:p>
      <w:r>
        <w:rPr>
          <w:rFonts w:ascii="Aptos" w:hAnsi="Aptos" w:eastAsia="Aptos"/>
          <w:b/>
          <w:color w:val="17365D"/>
        </w:rPr>
        <w:t xml:space="preserve">Advanced: </w:t>
      </w:r>
      <w:r>
        <w:rPr>
          <w:rFonts w:ascii="Aptos" w:hAnsi="Aptos" w:eastAsia="Aptos"/>
          <w:color w:val="1F1F1F"/>
        </w:rPr>
        <w:t>Records ideas clearly and asks a thoughtful question arising directly from the evidence.</w:t>
      </w:r>
    </w:p>
    <w:p>
      <w:r>
        <w:rPr>
          <w:rFonts w:ascii="Aptos" w:hAnsi="Aptos" w:eastAsia="Aptos"/>
          <w:b/>
          <w:color w:val="17365D"/>
        </w:rPr>
        <w:t xml:space="preserve">Proficient: </w:t>
      </w:r>
      <w:r>
        <w:rPr>
          <w:rFonts w:ascii="Aptos" w:hAnsi="Aptos" w:eastAsia="Aptos"/>
          <w:color w:val="1F1F1F"/>
        </w:rPr>
        <w:t>Communicates clearly and asks a relevant question.</w:t>
      </w:r>
    </w:p>
    <w:p>
      <w:r>
        <w:rPr>
          <w:rFonts w:ascii="Aptos" w:hAnsi="Aptos" w:eastAsia="Aptos"/>
          <w:b/>
          <w:color w:val="17365D"/>
        </w:rPr>
        <w:t xml:space="preserve">Developing: </w:t>
      </w:r>
      <w:r>
        <w:rPr>
          <w:rFonts w:ascii="Aptos" w:hAnsi="Aptos" w:eastAsia="Aptos"/>
          <w:color w:val="1F1F1F"/>
        </w:rPr>
        <w:t>Response is understandable but incomplete or the question is weak.</w:t>
      </w:r>
    </w:p>
    <w:p>
      <w:r>
        <w:rPr>
          <w:rFonts w:ascii="Aptos" w:hAnsi="Aptos" w:eastAsia="Aptos"/>
          <w:b/>
          <w:color w:val="17365D"/>
        </w:rPr>
        <w:t xml:space="preserve">Emerging: </w:t>
      </w:r>
      <w:r>
        <w:rPr>
          <w:rFonts w:ascii="Aptos" w:hAnsi="Aptos" w:eastAsia="Aptos"/>
          <w:color w:val="1F1F1F"/>
        </w:rPr>
        <w:t>Response is unclear, unrelated or lacks meaningful questioning.</w:t>
      </w:r>
    </w:p>
    <w:p>
      <w:pPr>
        <w:pStyle w:val="Heading1"/>
      </w:pPr>
      <w:r>
        <w:t>13. Safety and Fairness Rules</w:t>
      </w:r>
    </w:p>
    <w:p>
      <w:pPr>
        <w:pStyle w:val="ListBullet"/>
      </w:pPr>
      <w:r>
        <w:t>Students may not touch equipment unless the station card explicitly permits it.</w:t>
      </w:r>
    </w:p>
    <w:p>
      <w:pPr>
        <w:pStyle w:val="ListBullet"/>
      </w:pPr>
      <w:r>
        <w:t>No coaching, prompting or explanation by supervisors during live observation.</w:t>
      </w:r>
    </w:p>
    <w:p>
      <w:pPr>
        <w:pStyle w:val="ListBullet"/>
      </w:pPr>
      <w:r>
        <w:t>No mobile phones, calculators or personal reference materials unless specifically published for a station.</w:t>
      </w:r>
    </w:p>
    <w:p>
      <w:pPr>
        <w:pStyle w:val="ListBullet"/>
      </w:pPr>
      <w:r>
        <w:t>All groups receive the same timing and equivalent viewing conditions.</w:t>
      </w:r>
    </w:p>
    <w:p>
      <w:pPr>
        <w:pStyle w:val="ListBullet"/>
      </w:pPr>
      <w:r>
        <w:t>Any accessibility arrangement should remove an irrelevant barrier without changing the observation competency being assessed.</w:t>
      </w:r>
    </w:p>
    <w:p>
      <w:pPr>
        <w:pStyle w:val="ListBullet"/>
      </w:pPr>
      <w:r>
        <w:t>Unsafe behaviour may result in removal from a station or the event.</w:t>
      </w:r>
    </w:p>
    <w:p>
      <w:pPr>
        <w:pStyle w:val="Heading1"/>
      </w:pPr>
      <w:r>
        <w:t>14. Student Preparation Guidance</w:t>
      </w:r>
    </w:p>
    <w:p>
      <w:r>
        <w:t>Students should prepare by practising the observation method, not by memorising experiments. The live station content remains unseen.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17365D"/>
                <w:sz w:val="21"/>
              </w:rPr>
              <w:t>Preparation method: LOOK CAREFULLY -&gt; NOTICE CHANGE -&gt; COMPARE -&gt; RECORD EVIDENCE -&gt; ASK A QUESTION</w:t>
            </w:r>
          </w:p>
        </w:tc>
      </w:tr>
    </w:tbl>
    <w:p>
      <w:pPr>
        <w:pStyle w:val="ListBullet"/>
      </w:pPr>
      <w:r>
        <w:t>Observe everyday objects and write three precise details.</w:t>
      </w:r>
    </w:p>
    <w:p>
      <w:pPr>
        <w:pStyle w:val="ListBullet"/>
      </w:pPr>
      <w:r>
        <w:t>Compare two leaves, containers, shapes or graphs.</w:t>
      </w:r>
    </w:p>
    <w:p>
      <w:pPr>
        <w:pStyle w:val="ListBullet"/>
      </w:pPr>
      <w:r>
        <w:t>Practise describing a change without first explaining why it happened.</w:t>
      </w:r>
    </w:p>
    <w:p>
      <w:pPr>
        <w:pStyle w:val="ListBullet"/>
      </w:pPr>
      <w:r>
        <w:t>Use rulers, simple scales and counting where age appropriate.</w:t>
      </w:r>
    </w:p>
    <w:p>
      <w:pPr>
        <w:pStyle w:val="ListBullet"/>
      </w:pPr>
      <w:r>
        <w:t>Practise asking a question that could be investigated rather than a general curiosity question.</w:t>
      </w:r>
    </w:p>
    <w:p>
      <w:pPr>
        <w:pStyle w:val="Heading1"/>
      </w:pPr>
      <w:r>
        <w:t>15. Results, Tie-Break and Portfolio Evidence</w:t>
      </w:r>
    </w:p>
    <w:p>
      <w:r>
        <w:t>The official result should show total score and, where the league system supports it, a criterion profile showing strengths in accuracy, evidence, pattern recognition and communication.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  <w:cantSplit/>
        </w:trPr>
        <w:tc>
          <w:tcPr>
            <w:tcW w:type="dxa" w:w="5040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FFFFFF"/>
                <w:sz w:val="17"/>
              </w:rPr>
              <w:t>Tie-Break Order</w:t>
            </w:r>
          </w:p>
        </w:tc>
        <w:tc>
          <w:tcPr>
            <w:tcW w:type="dxa" w:w="5040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FFFFFF"/>
                <w:sz w:val="17"/>
              </w:rPr>
              <w:t>Criterion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1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Accuracy of Observation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2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Detail &amp; Evidence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3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Pattern / Comparison Recognition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4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Communication &amp; Questioning</w:t>
            </w:r>
          </w:p>
        </w:tc>
      </w:tr>
    </w:tbl>
    <w:p>
      <w:pPr>
        <w:pStyle w:val="Heading2"/>
      </w:pPr>
      <w:r>
        <w:t>Recommended Portfolio Evidence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  <w:cantSplit/>
        </w:trPr>
        <w:tc>
          <w:tcPr>
            <w:tcW w:type="dxa" w:w="5040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FFFFFF"/>
                <w:sz w:val="17"/>
              </w:rPr>
              <w:t>Element</w:t>
            </w:r>
          </w:p>
        </w:tc>
        <w:tc>
          <w:tcPr>
            <w:tcW w:type="dxa" w:w="5040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FFFFFF"/>
                <w:sz w:val="17"/>
              </w:rPr>
              <w:t>Evidence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Competition Metadata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Young Scientist Observation, date, level, school and result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Role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Individual participant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Artifacts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Selected station sheets or strongest observations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Reflection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What did I notice that I nearly missed?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Competency Trace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Based on actual evidence, not participation alone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Proficiency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Assessed separately under the Future Ready competency framework</w:t>
            </w:r>
          </w:p>
        </w:tc>
      </w:tr>
    </w:tbl>
    <w:p>
      <w:pPr>
        <w:pStyle w:val="Heading1"/>
      </w:pPr>
      <w:r>
        <w:t>16. Website Registration Information</w:t>
      </w:r>
    </w:p>
    <w:p>
      <w:r>
        <w:t>Registration is completed through the official Future Ready League Portal. Schools should verify candidate name, grade, school/campus, city, coordinator details and the correct competition category before the deadline.</w:t>
      </w:r>
    </w:p>
    <w:p>
      <w:r>
        <w:t>No project upload is required for this live competition. Event schedule, venue, reporting time and candidate identification details are issued through the official portal or school coordinator.</w:t>
      </w:r>
    </w:p>
    <w:p>
      <w:pPr>
        <w:pStyle w:val="Heading1"/>
      </w:pPr>
      <w:r>
        <w:t>17. Organizer Readiness Checklist</w:t>
      </w:r>
    </w:p>
    <w:p>
      <w:r>
        <w:t>☐ Portal registration fields tested</w:t>
      </w:r>
    </w:p>
    <w:p>
      <w:r>
        <w:t>☐ Five station briefs approved</w:t>
      </w:r>
    </w:p>
    <w:p>
      <w:r>
        <w:t>☐ All materials safety-checked</w:t>
      </w:r>
    </w:p>
    <w:p>
      <w:r>
        <w:t>☐ Station supervisor scripts prepared</w:t>
      </w:r>
    </w:p>
    <w:p>
      <w:r>
        <w:t>☐ Candidate response sheets coded and printed</w:t>
      </w:r>
    </w:p>
    <w:p>
      <w:r>
        <w:t>☐ Rotation plan tested</w:t>
      </w:r>
    </w:p>
    <w:p>
      <w:r>
        <w:t>☐ Timing signals standardised</w:t>
      </w:r>
    </w:p>
    <w:p>
      <w:r>
        <w:t>☐ Judge rubric and answer guidance finalised</w:t>
      </w:r>
    </w:p>
    <w:p>
      <w:r>
        <w:t>☐ Accessibility arrangements confirmed</w:t>
      </w:r>
    </w:p>
    <w:p>
      <w:r>
        <w:t>☐ Moderation and result calculation tested</w:t>
      </w:r>
    </w:p>
    <w:p>
      <w:r>
        <w:t>☐ Portfolio evidence handling confirmed</w:t>
      </w:r>
    </w:p>
    <w:p>
      <w:pPr>
        <w:pStyle w:val="Heading1"/>
      </w:pPr>
      <w:r>
        <w:t>Appendix A - Student Quick Guide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  <w:cantSplit/>
        </w:trPr>
        <w:tc>
          <w:tcPr>
            <w:tcW w:type="dxa" w:w="5040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FFFFFF"/>
                <w:sz w:val="17"/>
              </w:rPr>
              <w:t>At Every Station</w:t>
            </w:r>
          </w:p>
        </w:tc>
        <w:tc>
          <w:tcPr>
            <w:tcW w:type="dxa" w:w="5040"/>
            <w:shd w:fill="17365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FFFFFF"/>
                <w:sz w:val="17"/>
              </w:rPr>
              <w:t>Remember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1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Look before writing.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2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Record what you actually see.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3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Compare carefully.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4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Use evidence, numbers or labels where possible.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5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If you explain why, make clear that it is your idea or inference.</w:t>
            </w:r>
          </w:p>
        </w:tc>
      </w:tr>
      <w:tr>
        <w:trPr>
          <w:cantSplit/>
        </w:trPr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6</w:t>
            </w:r>
          </w:p>
        </w:tc>
        <w:tc>
          <w:tcPr>
            <w:tcW w:type="dxa" w:w="5040"/>
            <w:shd w:fill="F3F7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Ask one useful question.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7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Aptos" w:hAnsi="Aptos" w:eastAsia="Aptos"/>
                <w:color w:val="1F1F1F"/>
                <w:sz w:val="17"/>
              </w:rPr>
              <w:t>Stop when time is called and move quietly.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17365D"/>
                <w:sz w:val="21"/>
              </w:rPr>
              <w:t>Future Ready League principle: Good scientists do not begin by knowing every answer. They begin by noticing carefully.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3360"/>
      <w:gridCol w:w="3360"/>
      <w:gridCol w:w="3360"/>
    </w:tblGrid>
    <w:tr>
      <w:tc>
        <w:tcPr>
          <w:tcW w:type="dxa" w:w="3360"/>
        </w:tcPr>
        <w:p>
          <w:pPr>
            <w:jc w:val="left"/>
          </w:pPr>
          <w:r>
            <w:rPr>
              <w:rFonts w:ascii="Aptos" w:hAnsi="Aptos" w:eastAsia="Aptos"/>
              <w:color w:val="666666"/>
              <w:sz w:val="15"/>
            </w:rPr>
            <w:t>Official Competition Manual</w:t>
          </w:r>
        </w:p>
      </w:tc>
      <w:tc>
        <w:tcPr>
          <w:tcW w:type="dxa" w:w="3360"/>
        </w:tcPr>
        <w:p>
          <w:pPr>
            <w:jc w:val="center"/>
          </w:pPr>
          <w:r>
            <w:rPr>
              <w:rFonts w:ascii="Aptos" w:hAnsi="Aptos" w:eastAsia="Aptos"/>
              <w:color w:val="666666"/>
              <w:sz w:val="15"/>
            </w:rPr>
            <w:t>Future Ready League</w:t>
          </w:r>
        </w:p>
      </w:tc>
      <w:tc>
        <w:tcPr>
          <w:tcW w:type="dxa" w:w="3360"/>
        </w:tcPr>
        <w:p>
          <w:pPr>
            <w:jc w:val="right"/>
          </w:pPr>
          <w:r>
            <w:rPr>
              <w:rFonts w:ascii="Aptos" w:hAnsi="Aptos" w:eastAsia="Aptos"/>
              <w:color w:val="666666"/>
              <w:sz w:val="15"/>
            </w:rPr>
            <w:t>Website Publishing Version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  <w:pBdr>
        <w:bottom w:val="single" w:sz="6" w:space="1" w:color="D9EAF7"/>
      </w:pBdr>
    </w:pPr>
    <w:r>
      <w:rPr>
        <w:rFonts w:ascii="Aptos" w:hAnsi="Aptos" w:eastAsia="Aptos"/>
        <w:b/>
        <w:color w:val="17365D"/>
        <w:sz w:val="17"/>
      </w:rPr>
      <w:t>FUTURE READY LEAGUE  |  Young Scientist Observation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4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2F75B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2E7D7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lout">
    <w:name w:val="Callout"/>
    <w:pPr>
      <w:spacing w:before="80" w:after="140"/>
      <w:ind w:left="259" w:right="259"/>
    </w:pPr>
    <w:rPr>
      <w:rFonts w:ascii="Aptos" w:hAnsi="Aptos"/>
      <w:b/>
      <w:color w:val="17365D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